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88" w:rsidRDefault="008A0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ОБЗОР</w:t>
      </w:r>
    </w:p>
    <w:p w:rsidR="00AF4188" w:rsidRDefault="008A0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нормативных правовых актов федеральных органов власти,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принятых и (или) опубликованных в сентябре – декабре 2025 года </w:t>
      </w:r>
    </w:p>
    <w:p w:rsidR="00AF4188" w:rsidRDefault="008A0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оказывающих влияние на сферы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компаний Группы Газпром межрегионгаз</w:t>
      </w:r>
    </w:p>
    <w:p w:rsidR="00AF4188" w:rsidRDefault="00AF41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Правительства Российской Федерации от 29 ноября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2025 г. № 1967 «О внесении изменений в некоторые акты Правительства Российской Федерации»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1 марта 2026 г.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Федерации, в частности, внесены изменения в Правила пользования газом в части обеспечения безопасности при использовании и содержании внутридомового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внутриквартирного газового оборудования при предоставлении коммунальной услуги по газоснабжению, утвержденные постановлением Правительства Российской Федерации от 14 мая 2013 г. № 410 (далее – Правила пользования газом № 410), в целях реализации Федерального закона от 31 июля 2025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№ 308-ФЗ «О внесении изменений в Федеральный закон «О газоснабжении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Российской Федерации» и статьи 113 и 157.3 Жилищного кодекса Российской Федерации».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Установлено, что для целей применения Правил пользования газом № 410 к специализированным организациям относятся: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газораспределительная организация (далее - ГРО), осуществляющая транспортировку подаваемого до внутридомового газового оборудования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(далее также – ВДГО) природного газа по сети газораспределения, либо ГРО, осуществляющая техническое обслуживание этой сети по договору, заключенному в соответствии с требованиями промышленной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(или) законодательства о техническом регулировании с ГРО, осуществляющей транспортировку подаваемого до ВДГО природного газа по этой сети, -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предоставлении коммунальной услуги газоснабжения используется природный газ;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 организация, осуществляющая поставку сжиженного газа до места соединения сети газораспределения сжиженного углеводородного газа с газопроводом, входящим в состав ВДГО, -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установки;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 организация, уполномоченная на поставку сжиженных углеводородных газов для бытовых нужд населения в субъекте Российской Федерации, - если при предоставлении коммунальной услуги газоснабжения используется бытовой газ в баллонах.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Определено, что работы по ремонту внутриквартирного газового оборудования (</w:t>
      </w:r>
      <w:r w:rsidR="007A5C4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- ВКГО) и ВДГО в жилом доме (домовладении),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указанные в приложении к Правилам пользования газом № 410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(далее – минимальный перечень), осуществляются исполнителем (специализированной организацией) либо иной организацией, отвечающей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требованиям к организациям, осуществляющим ремонт газового оборудования, по отдельному договору с заказчиком.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привлечения заказчиком для проведения работ по ремонту ВКГО или ВДГО в жилом доме (домовладении) за пределами минимального перечня либо для гарантийного ремонта ВДГО или ВКГО организации, не являющейся специализированной (далее – ремонтная организация), заказчик направляет специализированной организации уведомление о проведении ремонта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позднее чем за одни сутки до момента начала работ, а в случае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ремонту отопительного оборудования в отопительный сезон - не позднее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чем за 6 часов до начала работ. В случае необходимости для проведения работ по ремонту ВКГО или ВДГО в жилом доме (домовладении) отсоединения этого оборудования от сети газопотребления и (или) его установки, в том числе установки подменного газового оборудования, специализированная организация производит отсоединение и при необходимости установку этого газового оборудования в дату и время, указанные в уведомлении о проведении ремонта. Кроме того, специализированная организация вправе по окончании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ремонту ВКГО или ВДГО в жилом доме (домовладении) ремонтной  организацией произвести оценку технического состояния газоиспользующего оборудования и (или) проверку герметичности соединений и отключающих устройств, входящих в состав ВКГО или ВДГО в жилом доме (домовладении).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сказанного, в Правила пользования газом № 410 внесен ряд изменений, направленных на повышение безопасности при использовании газа в быту: </w:t>
      </w:r>
    </w:p>
    <w:p w:rsidR="00AF4188" w:rsidRDefault="008A029C">
      <w:pPr>
        <w:pStyle w:val="aff3"/>
        <w:ind w:firstLine="709"/>
        <w:rPr>
          <w:szCs w:val="28"/>
        </w:rPr>
      </w:pPr>
      <w:r>
        <w:rPr>
          <w:rFonts w:eastAsia="Times New Roman"/>
          <w:szCs w:val="28"/>
        </w:rPr>
        <w:t xml:space="preserve">- упрощен порядок уведомления заказчиков о выполнении плановых работ по техническому обслуживанию ВДГО и ВКГО; </w:t>
      </w:r>
    </w:p>
    <w:p w:rsidR="00AF4188" w:rsidRDefault="008A029C">
      <w:pPr>
        <w:pStyle w:val="aff3"/>
        <w:ind w:firstLine="709"/>
        <w:rPr>
          <w:szCs w:val="28"/>
        </w:rPr>
      </w:pPr>
      <w:r>
        <w:rPr>
          <w:rFonts w:eastAsia="Times New Roman"/>
          <w:szCs w:val="28"/>
        </w:rPr>
        <w:t xml:space="preserve">- четко регламентирован порядок переноса даты и времени выполнения плановых работ по техническому обслуживанию ВДГО и ВКГО, при этом заказчик не может настаивать на переносе даты выполнения работ более чем </w:t>
      </w:r>
      <w:r>
        <w:rPr>
          <w:rFonts w:eastAsia="Times New Roman"/>
          <w:szCs w:val="28"/>
        </w:rPr>
        <w:br/>
        <w:t xml:space="preserve">на 30 дней; </w:t>
      </w:r>
    </w:p>
    <w:p w:rsidR="00AF4188" w:rsidRDefault="008A029C">
      <w:pPr>
        <w:pStyle w:val="aff3"/>
        <w:ind w:firstLine="709"/>
        <w:rPr>
          <w:szCs w:val="28"/>
        </w:rPr>
      </w:pPr>
      <w:r>
        <w:rPr>
          <w:rFonts w:eastAsia="Times New Roman"/>
          <w:szCs w:val="28"/>
        </w:rPr>
        <w:t xml:space="preserve">- упрощена процедура фиксации факта </w:t>
      </w:r>
      <w:proofErr w:type="spellStart"/>
      <w:r>
        <w:rPr>
          <w:rFonts w:eastAsia="Times New Roman"/>
          <w:szCs w:val="28"/>
        </w:rPr>
        <w:t>недопуска</w:t>
      </w:r>
      <w:proofErr w:type="spellEnd"/>
      <w:r>
        <w:rPr>
          <w:rFonts w:eastAsia="Times New Roman"/>
          <w:szCs w:val="28"/>
        </w:rPr>
        <w:t xml:space="preserve"> к ВДГО и ВКГО, </w:t>
      </w:r>
      <w:r>
        <w:rPr>
          <w:rFonts w:eastAsia="Times New Roman"/>
          <w:szCs w:val="28"/>
        </w:rPr>
        <w:br/>
        <w:t xml:space="preserve">а акт о </w:t>
      </w:r>
      <w:proofErr w:type="spellStart"/>
      <w:r>
        <w:rPr>
          <w:rFonts w:eastAsia="Times New Roman"/>
          <w:szCs w:val="28"/>
        </w:rPr>
        <w:t>недопуске</w:t>
      </w:r>
      <w:proofErr w:type="spellEnd"/>
      <w:r>
        <w:rPr>
          <w:rFonts w:eastAsia="Times New Roman"/>
          <w:szCs w:val="28"/>
        </w:rPr>
        <w:t xml:space="preserve"> теперь будет являться основанием для приостановления подачи газа без предварительного уведомления (при этом отсутствие заказчика </w:t>
      </w:r>
      <w:r>
        <w:rPr>
          <w:rFonts w:eastAsia="Times New Roman"/>
          <w:szCs w:val="28"/>
        </w:rPr>
        <w:br/>
        <w:t xml:space="preserve">в помещении приравнено к </w:t>
      </w:r>
      <w:proofErr w:type="spellStart"/>
      <w:r>
        <w:rPr>
          <w:rFonts w:eastAsia="Times New Roman"/>
          <w:szCs w:val="28"/>
        </w:rPr>
        <w:t>недопуску</w:t>
      </w:r>
      <w:proofErr w:type="spellEnd"/>
      <w:r>
        <w:rPr>
          <w:rFonts w:eastAsia="Times New Roman"/>
          <w:szCs w:val="28"/>
        </w:rPr>
        <w:t xml:space="preserve">); </w:t>
      </w:r>
    </w:p>
    <w:p w:rsidR="00AF4188" w:rsidRDefault="008A029C">
      <w:pPr>
        <w:pStyle w:val="aff3"/>
        <w:ind w:firstLine="709"/>
        <w:rPr>
          <w:szCs w:val="28"/>
        </w:rPr>
      </w:pPr>
      <w:r>
        <w:rPr>
          <w:rFonts w:eastAsia="Times New Roman"/>
          <w:szCs w:val="28"/>
        </w:rPr>
        <w:t xml:space="preserve">- расширены и детализированы основания для незамедлительного приостановления подачи газа (к таковым основаниям, в том числе, отнесен отрицательный результат опрессовки газопроводов, входящих </w:t>
      </w:r>
      <w:r>
        <w:rPr>
          <w:rFonts w:eastAsia="Times New Roman"/>
          <w:szCs w:val="28"/>
        </w:rPr>
        <w:br/>
        <w:t xml:space="preserve">в состав ВДГО и ВКГО);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комплекс работ (услуг), обеспечивающих безопасное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содержание ВДГО и ВКГО, дополнен работами (услугами)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 приостановлению и возобновлению подачи газа, а также по оценке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 истечение у гибкой газовой подводки, входящей в состав ВДГО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(или) ВКГО, срока эксплуатации, установленного изготовителем, отнесено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числу оснований для замены ВДГО и (или) ВКГО;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для организаций, выполняющих работы по проверке, очистке и ремонту дымовых и вентиляционных каналов, введены требования о наличии достаточного штата квалифицированных сотрудников, имеющих профильное образование, и об оснащении средствами контроля и измерений, контрольно-измерительным оборудованием, прошедшим метрологический контроль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нормативно закреплено, что работы по ремонту ВДГО и ВКГО должны быть начаты специализированной организацией в течение одних суток с момента поступления от заказчика соответствующей заявки, а на проведение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ремонту отопительного оборудования в отопительный сезон - в течение 6 часов, если нормативными правовыми актами не установлены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незамедлительному проведению ремонтных работ.</w:t>
      </w:r>
    </w:p>
    <w:p w:rsidR="00AF4188" w:rsidRDefault="00AF4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 Правительства Российской Федерации от 29 ноября 2025 г. № 1962 «О внесении изменений в некоторые акты Правительства Российской Федерации»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1 марта 2026 г.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Внесены изменения в постановление Правительства Российской Федерации от 1 ноября 2021 г. № 1901 и утвержденные им Правила поставки газа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Российской Федерации (далее – Правила поставки газа № 1901).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Значительно сужен (в сравнении с первоначальной редакцией Правил поставки газа № 1901) круг потребителей газа, которые могут быть отнесены к категории «коммунально-бытовой потребитель» (далее также – КБП)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и, как следствие, быть освобожденными от применения экономических санкций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невыборку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перерасход газа: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из категории КБП полностью исключены тепловые электростанции;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статус КБП привязан не к потребителю в целом, а к конкретной котельной с закреплением условия о том, что такая котельная должна быть оборудована своим узлом измерения расхода газа;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нормативно закреплена необходимость подтверждения значения доли поставки тепловой энергии для коммунально-бытовых нужд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(75 %) по конкретной котельной для ее отнесения к КБП;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подробно регламентирован состав документов, подтверждающих статус КБП, и порядок их представления поставщику газа. В том числе, прямо оговорено, что статус КБП должен документально подтверждаться потребителем ежегодно.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Заложены основы правового регулирования коммерческой балансировки газа в Российской Федерации.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Скорректированы отдельные положения по вопросам режима и учета потребления газа, в частности: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закреплено правило о том, что допускаемая в указанных в договорах поставки газа неравномерность поставки газа ограничена общим правилом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допустимом диапазоне отбора («суточный коридор»);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 исключена возможность произвольного распределения покупателем объемов перерасхода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невыборки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газа по договорам в ущерб поставщику газа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прямо закреплена обязанность (а не право, как это было до принятия постановления Правительства Российской Федерации) покупателя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обращении в суд за урегулированием преддоговорного спора прекратить отбор газа по истечении срока действия договора поставки газа, заключенного на предыдущий период.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 потенциальная возможность применять неустойку за неуплату промежуточных платежей, предусмотренных Порядком расчетов за природный газ, утвержденным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от 4 апреля 2000 г. № 294. </w:t>
      </w:r>
    </w:p>
    <w:p w:rsidR="00AF4188" w:rsidRDefault="00AF4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4188" w:rsidRDefault="00AF4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Правительства Российской Федерации от 2 октября 2025 г. № 1519 «О внесении изменений в некоторые акты Правительства Российской Федерации»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Вступает в силу 1 марта 2026 г. 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1 марта 2026 года договоры поставки газа для обеспечения коммунально-бытовых нужд граждан, а также договоры о техническом обслуживании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ремонте ВДГО в многоквартирном доме, о техническом обслуживании ВКГО в многоквартирном доме, о техническом обслуживании ВДГО в жилом доме (домовладении) (далее при совместном упоминании – договоры совместном упоминании – договоры ТО ВДГО/ВКГО) могут заключаться в электронном виде через личный кабинет в ЕПГУ, на региональном портале государственных и муниципальных услуг (функций), а также на официальных сайтах газоснабжающих организаций, ГРО или иных организаций, привлеченных газоснабжающими организациями и ГРО для организации информационного взаимодействия с заявителями (абонентами, заказчиками) в сети «Интернет».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организации электронного документооборота с заявителями (абонентами, заказчиками) предусмотрено право газоснабжающих организаций и ГРО присоединиться к инфраструктуре электронного правительства. При этом для идентификации в личном кабинете заявителя газоснабжающая организация и ГРО вправе с согласия заявителя, абонента, выраженного в ЕСИА, запрашивать и получать из ЕСИА такие сведения о физических лицах, как фамилия, имя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отчество, дата рождения, данные документа, удостоверяющего личность, страховой номер индивидуального лицевого счета, контактный телефон, адрес электронной почты, адрес регистрации, фактический адрес проживания.</w:t>
      </w:r>
    </w:p>
    <w:p w:rsidR="00AF4188" w:rsidRDefault="008A02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официально закрепляется возможность заключения договоров поставки газа для обеспечения коммунально-бытовых нужд и договоров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 ВДГО/ВКГО через многофункциональные центры предоставления государственных и муниципальных услуг.</w:t>
      </w:r>
    </w:p>
    <w:p w:rsidR="00AF4188" w:rsidRDefault="00AF4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188" w:rsidRDefault="00AF4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4188" w:rsidRDefault="00AF4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4188" w:rsidRDefault="008A02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 w:clear="all"/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Приказ Федеральной антимонопольной службы от 3 сентября 2025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№ 694/25 «О внесении изменений в 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утвержденные приказом ФАС России от 16 августа 2018 г. № 1151/18» </w:t>
      </w:r>
      <w:r>
        <w:rPr>
          <w:rFonts w:ascii="Times New Roman" w:eastAsia="Times New Roman" w:hAnsi="Times New Roman" w:cs="Times New Roman"/>
          <w:sz w:val="28"/>
          <w:szCs w:val="28"/>
        </w:rPr>
        <w:t>(зарегистрирован в Минюсте России 3 декабря 2025 г. № 84427)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Вступил в силу 15 декабря 2025 г.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ФАС России, в частности: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уточнен состав расходов ГРО, учитываемых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при расчете платы за технологическое присоединение газоиспользующего оборудования к газораспределительным сетям, и конкретизируются виды деятельности, затраты на которые подлежат включению в указанную плату, такие как прием заявок, оформление договоров, разработка проектной документации и выполнение технических условий; 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для расчета размера платы за технологическое присоединение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(или) размера стандартизированных тарифных ставок и (или) размера экономически обоснованных расходов на выполнение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подключению (технологическому присоединению) газоиспользующего оборудования теперь будут в том числе учитываться расходы на осуществление государственного кадастрового учета объектов сетей газораспределения; 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исключена обязанность ГРО для установления размера платы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 технологическое присоединение к газораспределительной сети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индивидуальному проекту предоставлять регулирующему органу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согласие основного абонента; 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определено, что расходы на разработку проектной документации определяются на основании фактических данных по разработке проектной документации и проведению экспертизы проектной документации в случаях, предусмотренных законодательством;</w:t>
      </w:r>
    </w:p>
    <w:p w:rsidR="00AF4188" w:rsidRDefault="008A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приводится состав расходов, включаемых в плату за технологическое присоединение, в случаях технологического присоединения газоиспользующего оборудования по индивидуальному проекту.</w:t>
      </w:r>
    </w:p>
    <w:p w:rsidR="00AF4188" w:rsidRDefault="00AF4188">
      <w:pPr>
        <w:pStyle w:val="af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4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2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78" w:rsidRDefault="00982478">
      <w:pPr>
        <w:spacing w:after="0" w:line="240" w:lineRule="auto"/>
      </w:pPr>
      <w:r>
        <w:separator/>
      </w:r>
    </w:p>
  </w:endnote>
  <w:endnote w:type="continuationSeparator" w:id="0">
    <w:p w:rsidR="00982478" w:rsidRDefault="0098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9C" w:rsidRDefault="008A029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9C" w:rsidRDefault="008A029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19"/>
      <w:gridCol w:w="4820"/>
    </w:tblGrid>
    <w:tr w:rsidR="008A029C">
      <w:tc>
        <w:tcPr>
          <w:tcW w:w="4819" w:type="dxa"/>
        </w:tcPr>
        <w:p w:rsidR="008A029C" w:rsidRPr="008A029C" w:rsidRDefault="008A029C">
          <w:pPr>
            <w:pStyle w:val="ad"/>
            <w:rPr>
              <w:rFonts w:ascii="Arial Narrow" w:hAnsi="Arial Narrow"/>
              <w:sz w:val="16"/>
            </w:rPr>
          </w:pPr>
          <w:r w:rsidRPr="008A029C">
            <w:rPr>
              <w:rFonts w:ascii="Arial Narrow" w:hAnsi="Arial Narrow"/>
              <w:sz w:val="16"/>
            </w:rPr>
            <w:t>Копия электронного документа от 23.01.2026 № МРГ/306</w:t>
          </w:r>
        </w:p>
      </w:tc>
      <w:tc>
        <w:tcPr>
          <w:tcW w:w="4820" w:type="dxa"/>
        </w:tcPr>
        <w:p w:rsidR="008A029C" w:rsidRPr="008A029C" w:rsidRDefault="008A029C">
          <w:pPr>
            <w:pStyle w:val="ad"/>
            <w:rPr>
              <w:rFonts w:ascii="Arial Narrow" w:hAnsi="Arial Narrow"/>
              <w:sz w:val="16"/>
            </w:rPr>
          </w:pPr>
          <w:r w:rsidRPr="008A029C">
            <w:rPr>
              <w:rFonts w:ascii="Arial Narrow" w:hAnsi="Arial Narrow"/>
              <w:sz w:val="16"/>
            </w:rPr>
            <w:t>Электронная подпись верна. Проверил __________ / __________</w:t>
          </w:r>
        </w:p>
      </w:tc>
    </w:tr>
  </w:tbl>
  <w:p w:rsidR="008A029C" w:rsidRDefault="008A02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78" w:rsidRDefault="00982478">
      <w:pPr>
        <w:spacing w:after="0" w:line="240" w:lineRule="auto"/>
      </w:pPr>
      <w:r>
        <w:separator/>
      </w:r>
    </w:p>
  </w:footnote>
  <w:footnote w:type="continuationSeparator" w:id="0">
    <w:p w:rsidR="00982478" w:rsidRDefault="0098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9C" w:rsidRDefault="008A029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46117044"/>
      <w:docPartObj>
        <w:docPartGallery w:val="Page Numbers (Top of Page)"/>
        <w:docPartUnique/>
      </w:docPartObj>
    </w:sdtPr>
    <w:sdtEndPr/>
    <w:sdtContent>
      <w:p w:rsidR="00AF4188" w:rsidRDefault="008A029C">
        <w:pPr>
          <w:pStyle w:val="ab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A5C42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F4188" w:rsidRDefault="00AF4188">
    <w:pPr>
      <w:pStyle w:val="ab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9C" w:rsidRDefault="008A029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5F"/>
    <w:multiLevelType w:val="hybridMultilevel"/>
    <w:tmpl w:val="9D1CB1F0"/>
    <w:lvl w:ilvl="0" w:tplc="BFDE1F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2ED7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5C2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9E13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722F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FCB1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845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883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6257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676ADF"/>
    <w:multiLevelType w:val="hybridMultilevel"/>
    <w:tmpl w:val="5CC69DBC"/>
    <w:lvl w:ilvl="0" w:tplc="DB0011AC">
      <w:start w:val="1"/>
      <w:numFmt w:val="bullet"/>
      <w:lvlText w:val="–"/>
      <w:lvlJc w:val="left"/>
      <w:pPr>
        <w:ind w:left="1446" w:hanging="360"/>
      </w:pPr>
      <w:rPr>
        <w:rFonts w:ascii="Arial" w:hAnsi="Arial" w:cs="Arial"/>
      </w:rPr>
    </w:lvl>
    <w:lvl w:ilvl="1" w:tplc="36CCB982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 w:tplc="261202BA">
      <w:start w:val="1"/>
      <w:numFmt w:val="bullet"/>
      <w:lvlText w:val="§"/>
      <w:lvlJc w:val="left"/>
      <w:pPr>
        <w:ind w:left="2886" w:hanging="360"/>
      </w:pPr>
      <w:rPr>
        <w:rFonts w:ascii="Wingdings" w:hAnsi="Wingdings" w:cs="Wingdings"/>
      </w:rPr>
    </w:lvl>
    <w:lvl w:ilvl="3" w:tplc="1CCE69EC">
      <w:start w:val="1"/>
      <w:numFmt w:val="bullet"/>
      <w:lvlText w:val="·"/>
      <w:lvlJc w:val="left"/>
      <w:pPr>
        <w:ind w:left="3606" w:hanging="360"/>
      </w:pPr>
      <w:rPr>
        <w:rFonts w:ascii="Symbol" w:hAnsi="Symbol" w:cs="Symbol"/>
      </w:rPr>
    </w:lvl>
    <w:lvl w:ilvl="4" w:tplc="140ED8F0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 w:tplc="22B61308">
      <w:start w:val="1"/>
      <w:numFmt w:val="bullet"/>
      <w:lvlText w:val="§"/>
      <w:lvlJc w:val="left"/>
      <w:pPr>
        <w:ind w:left="5046" w:hanging="360"/>
      </w:pPr>
      <w:rPr>
        <w:rFonts w:ascii="Wingdings" w:hAnsi="Wingdings" w:cs="Wingdings"/>
      </w:rPr>
    </w:lvl>
    <w:lvl w:ilvl="6" w:tplc="8418EC84">
      <w:start w:val="1"/>
      <w:numFmt w:val="bullet"/>
      <w:lvlText w:val="·"/>
      <w:lvlJc w:val="left"/>
      <w:pPr>
        <w:ind w:left="5765" w:hanging="360"/>
      </w:pPr>
      <w:rPr>
        <w:rFonts w:ascii="Symbol" w:hAnsi="Symbol" w:cs="Symbol"/>
      </w:rPr>
    </w:lvl>
    <w:lvl w:ilvl="7" w:tplc="20C801C4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/>
      </w:rPr>
    </w:lvl>
    <w:lvl w:ilvl="8" w:tplc="3D60E0B6">
      <w:start w:val="1"/>
      <w:numFmt w:val="bullet"/>
      <w:lvlText w:val="§"/>
      <w:lvlJc w:val="left"/>
      <w:pPr>
        <w:ind w:left="7205" w:hanging="360"/>
      </w:pPr>
      <w:rPr>
        <w:rFonts w:ascii="Wingdings" w:hAnsi="Wingdings" w:cs="Wingdings"/>
      </w:rPr>
    </w:lvl>
  </w:abstractNum>
  <w:abstractNum w:abstractNumId="2" w15:restartNumberingAfterBreak="0">
    <w:nsid w:val="12D63E13"/>
    <w:multiLevelType w:val="hybridMultilevel"/>
    <w:tmpl w:val="26EA4B96"/>
    <w:lvl w:ilvl="0" w:tplc="151AEEB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A72880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6E45F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600A1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37C95D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2C41A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B6650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0E42A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AE0EC2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F96E43"/>
    <w:multiLevelType w:val="hybridMultilevel"/>
    <w:tmpl w:val="C55AADCE"/>
    <w:lvl w:ilvl="0" w:tplc="50E49F7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A0E6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0AAB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EC2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087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500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4AFC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F49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44C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480EE3"/>
    <w:multiLevelType w:val="hybridMultilevel"/>
    <w:tmpl w:val="A52C1BD4"/>
    <w:lvl w:ilvl="0" w:tplc="E0B2BAC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19DEAC0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AD50769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EEA850C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E51869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F49CC2E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BB74CD3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0C5CA0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1FA0E1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AB5507B"/>
    <w:multiLevelType w:val="hybridMultilevel"/>
    <w:tmpl w:val="9A262F22"/>
    <w:lvl w:ilvl="0" w:tplc="8CBA65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4C65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EE54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42E3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746D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A27C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70A4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10AE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1C5E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B7B581C"/>
    <w:multiLevelType w:val="hybridMultilevel"/>
    <w:tmpl w:val="E5B057D2"/>
    <w:lvl w:ilvl="0" w:tplc="6C6AB8B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4F65DF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23D894A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830AAC1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C9C553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88A82D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0B01E9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72EEAD3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8B64DDF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D32156E"/>
    <w:multiLevelType w:val="hybridMultilevel"/>
    <w:tmpl w:val="883CF58A"/>
    <w:lvl w:ilvl="0" w:tplc="574C4FB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3CECD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6F2091F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962ECF7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B02AD86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DB96928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DAD499C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26E6C08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91D40B4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2D95E67"/>
    <w:multiLevelType w:val="hybridMultilevel"/>
    <w:tmpl w:val="E51CFDB6"/>
    <w:lvl w:ilvl="0" w:tplc="DF2AE2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5B6C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5E50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BEFC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06F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9E4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2292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1673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74C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6B96653"/>
    <w:multiLevelType w:val="hybridMultilevel"/>
    <w:tmpl w:val="73A05F20"/>
    <w:lvl w:ilvl="0" w:tplc="DE38C3D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E8A80406">
      <w:start w:val="1"/>
      <w:numFmt w:val="lowerLetter"/>
      <w:lvlText w:val="%2."/>
      <w:lvlJc w:val="left"/>
      <w:pPr>
        <w:ind w:left="2149" w:hanging="360"/>
      </w:pPr>
    </w:lvl>
    <w:lvl w:ilvl="2" w:tplc="C62407EC">
      <w:start w:val="1"/>
      <w:numFmt w:val="lowerRoman"/>
      <w:lvlText w:val="%3."/>
      <w:lvlJc w:val="right"/>
      <w:pPr>
        <w:ind w:left="2869" w:hanging="180"/>
      </w:pPr>
    </w:lvl>
    <w:lvl w:ilvl="3" w:tplc="3204259C">
      <w:start w:val="1"/>
      <w:numFmt w:val="decimal"/>
      <w:lvlText w:val="%4."/>
      <w:lvlJc w:val="left"/>
      <w:pPr>
        <w:ind w:left="3589" w:hanging="360"/>
      </w:pPr>
    </w:lvl>
    <w:lvl w:ilvl="4" w:tplc="15745944">
      <w:start w:val="1"/>
      <w:numFmt w:val="lowerLetter"/>
      <w:lvlText w:val="%5."/>
      <w:lvlJc w:val="left"/>
      <w:pPr>
        <w:ind w:left="4309" w:hanging="360"/>
      </w:pPr>
    </w:lvl>
    <w:lvl w:ilvl="5" w:tplc="1F8208AC">
      <w:start w:val="1"/>
      <w:numFmt w:val="lowerRoman"/>
      <w:lvlText w:val="%6."/>
      <w:lvlJc w:val="right"/>
      <w:pPr>
        <w:ind w:left="5029" w:hanging="180"/>
      </w:pPr>
    </w:lvl>
    <w:lvl w:ilvl="6" w:tplc="01940B30">
      <w:start w:val="1"/>
      <w:numFmt w:val="decimal"/>
      <w:lvlText w:val="%7."/>
      <w:lvlJc w:val="left"/>
      <w:pPr>
        <w:ind w:left="5749" w:hanging="360"/>
      </w:pPr>
    </w:lvl>
    <w:lvl w:ilvl="7" w:tplc="AB60FE9E">
      <w:start w:val="1"/>
      <w:numFmt w:val="lowerLetter"/>
      <w:lvlText w:val="%8."/>
      <w:lvlJc w:val="left"/>
      <w:pPr>
        <w:ind w:left="6469" w:hanging="360"/>
      </w:pPr>
    </w:lvl>
    <w:lvl w:ilvl="8" w:tplc="8578E0D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7B63E0"/>
    <w:multiLevelType w:val="hybridMultilevel"/>
    <w:tmpl w:val="C726B358"/>
    <w:lvl w:ilvl="0" w:tplc="DAA6B4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794B3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E6DA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ACB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AAB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B428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88FA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3C6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F419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9197733"/>
    <w:multiLevelType w:val="hybridMultilevel"/>
    <w:tmpl w:val="64DE33B8"/>
    <w:lvl w:ilvl="0" w:tplc="7CCE4E36">
      <w:start w:val="1"/>
      <w:numFmt w:val="decimal"/>
      <w:lvlText w:val="%1."/>
      <w:lvlJc w:val="left"/>
      <w:pPr>
        <w:ind w:left="1570" w:hanging="360"/>
      </w:pPr>
    </w:lvl>
    <w:lvl w:ilvl="1" w:tplc="07C6A434">
      <w:start w:val="1"/>
      <w:numFmt w:val="lowerLetter"/>
      <w:lvlText w:val="%2."/>
      <w:lvlJc w:val="left"/>
      <w:pPr>
        <w:ind w:left="2290" w:hanging="360"/>
      </w:pPr>
    </w:lvl>
    <w:lvl w:ilvl="2" w:tplc="C8BEDB0C">
      <w:start w:val="1"/>
      <w:numFmt w:val="lowerRoman"/>
      <w:lvlText w:val="%3."/>
      <w:lvlJc w:val="right"/>
      <w:pPr>
        <w:ind w:left="3010" w:hanging="180"/>
      </w:pPr>
    </w:lvl>
    <w:lvl w:ilvl="3" w:tplc="069E5070">
      <w:start w:val="1"/>
      <w:numFmt w:val="decimal"/>
      <w:lvlText w:val="%4."/>
      <w:lvlJc w:val="left"/>
      <w:pPr>
        <w:ind w:left="3730" w:hanging="360"/>
      </w:pPr>
    </w:lvl>
    <w:lvl w:ilvl="4" w:tplc="4BEADBFC">
      <w:start w:val="1"/>
      <w:numFmt w:val="lowerLetter"/>
      <w:lvlText w:val="%5."/>
      <w:lvlJc w:val="left"/>
      <w:pPr>
        <w:ind w:left="4450" w:hanging="360"/>
      </w:pPr>
    </w:lvl>
    <w:lvl w:ilvl="5" w:tplc="0BB8E68A">
      <w:start w:val="1"/>
      <w:numFmt w:val="lowerRoman"/>
      <w:lvlText w:val="%6."/>
      <w:lvlJc w:val="right"/>
      <w:pPr>
        <w:ind w:left="5170" w:hanging="180"/>
      </w:pPr>
    </w:lvl>
    <w:lvl w:ilvl="6" w:tplc="B762D858">
      <w:start w:val="1"/>
      <w:numFmt w:val="decimal"/>
      <w:lvlText w:val="%7."/>
      <w:lvlJc w:val="left"/>
      <w:pPr>
        <w:ind w:left="5890" w:hanging="360"/>
      </w:pPr>
    </w:lvl>
    <w:lvl w:ilvl="7" w:tplc="3EEC4366">
      <w:start w:val="1"/>
      <w:numFmt w:val="lowerLetter"/>
      <w:lvlText w:val="%8."/>
      <w:lvlJc w:val="left"/>
      <w:pPr>
        <w:ind w:left="6610" w:hanging="360"/>
      </w:pPr>
    </w:lvl>
    <w:lvl w:ilvl="8" w:tplc="2D92B172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88"/>
    <w:rsid w:val="0001215D"/>
    <w:rsid w:val="002A6E03"/>
    <w:rsid w:val="007A5C42"/>
    <w:rsid w:val="008A029C"/>
    <w:rsid w:val="00982478"/>
    <w:rsid w:val="00AF4188"/>
    <w:rsid w:val="00B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8B26B-34AA-45B2-8EBC-FB67F0BE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link w:val="12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link w:val="92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92">
    <w:name w:val="Оглавление 9 Знак"/>
    <w:basedOn w:val="61"/>
    <w:link w:val="9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0"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12">
    <w:name w:val="Знак сноски1"/>
    <w:basedOn w:val="a"/>
    <w:link w:val="af3"/>
    <w:rPr>
      <w:vertAlign w:val="superscript"/>
    </w:rPr>
  </w:style>
  <w:style w:type="paragraph" w:styleId="afb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qFormat/>
    <w:pPr>
      <w:spacing w:after="0" w:line="240" w:lineRule="auto"/>
    </w:pPr>
    <w:rPr>
      <w:rFonts w:ascii="Arial" w:eastAsia="Times New Roman" w:hAnsi="Arial" w:cs="Arial"/>
      <w:color w:val="000000"/>
      <w:sz w:val="16"/>
      <w:szCs w:val="20"/>
      <w:lang w:eastAsia="ru-RU"/>
    </w:rPr>
  </w:style>
  <w:style w:type="paragraph" w:customStyle="1" w:styleId="Standard">
    <w:name w:val="Standard"/>
    <w:basedOn w:val="a"/>
    <w:qFormat/>
    <w:pPr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0"/>
      <w:lang w:eastAsia="ru-RU"/>
    </w:rPr>
  </w:style>
  <w:style w:type="paragraph" w:customStyle="1" w:styleId="aff3">
    <w:name w:val="Основной с отступом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5CDD-D595-4747-A784-70B60B88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Леликова Юлия Викторовна</dc:creator>
  <cp:lastModifiedBy>Сычин Владислав Владиславович</cp:lastModifiedBy>
  <cp:revision>4</cp:revision>
  <dcterms:created xsi:type="dcterms:W3CDTF">2026-01-26T02:58:00Z</dcterms:created>
  <dcterms:modified xsi:type="dcterms:W3CDTF">2026-01-26T04:06:00Z</dcterms:modified>
</cp:coreProperties>
</file>